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2B357" w14:textId="77777777" w:rsidR="002213D9" w:rsidRDefault="002213D9">
      <w:pPr>
        <w:autoSpaceDE w:val="0"/>
        <w:autoSpaceDN w:val="0"/>
        <w:adjustRightInd w:val="0"/>
        <w:jc w:val="left"/>
        <w:rPr>
          <w:color w:val="000000"/>
          <w:sz w:val="32"/>
          <w:szCs w:val="32"/>
        </w:rPr>
      </w:pPr>
      <w:r>
        <w:rPr>
          <w:color w:val="000000"/>
          <w:sz w:val="32"/>
          <w:szCs w:val="32"/>
        </w:rPr>
        <w:t>Speaker(s)/contributor(s) release form</w:t>
      </w:r>
    </w:p>
    <w:p w14:paraId="74E6DF34" w14:textId="77777777" w:rsidR="002213D9" w:rsidRDefault="002213D9">
      <w:pPr>
        <w:autoSpaceDE w:val="0"/>
        <w:autoSpaceDN w:val="0"/>
        <w:adjustRightInd w:val="0"/>
        <w:jc w:val="left"/>
        <w:rPr>
          <w:color w:val="000000"/>
          <w:sz w:val="32"/>
          <w:szCs w:val="32"/>
        </w:rPr>
      </w:pPr>
    </w:p>
    <w:p w14:paraId="580DBC7C" w14:textId="77777777" w:rsidR="002213D9" w:rsidRDefault="002213D9">
      <w:pPr>
        <w:autoSpaceDE w:val="0"/>
        <w:autoSpaceDN w:val="0"/>
        <w:adjustRightInd w:val="0"/>
        <w:jc w:val="left"/>
        <w:rPr>
          <w:color w:val="000000"/>
          <w:sz w:val="22"/>
          <w:szCs w:val="22"/>
        </w:rPr>
      </w:pPr>
      <w:r>
        <w:rPr>
          <w:color w:val="000000"/>
          <w:sz w:val="22"/>
          <w:szCs w:val="22"/>
        </w:rPr>
        <w:t>There is huge worldwide public demand for recordings of public lectures and other events at LSE, plus transcripts, slides and other presentation materials used by speakers.</w:t>
      </w:r>
    </w:p>
    <w:p w14:paraId="2204BEC9" w14:textId="77777777" w:rsidR="002213D9" w:rsidRDefault="002213D9">
      <w:pPr>
        <w:autoSpaceDE w:val="0"/>
        <w:autoSpaceDN w:val="0"/>
        <w:adjustRightInd w:val="0"/>
        <w:jc w:val="left"/>
        <w:rPr>
          <w:color w:val="000000"/>
          <w:sz w:val="22"/>
          <w:szCs w:val="22"/>
        </w:rPr>
      </w:pPr>
    </w:p>
    <w:p w14:paraId="2B17E16A" w14:textId="77777777" w:rsidR="002213D9" w:rsidRDefault="002213D9">
      <w:pPr>
        <w:autoSpaceDE w:val="0"/>
        <w:autoSpaceDN w:val="0"/>
        <w:adjustRightInd w:val="0"/>
        <w:jc w:val="left"/>
        <w:rPr>
          <w:color w:val="000000"/>
          <w:sz w:val="22"/>
          <w:szCs w:val="22"/>
        </w:rPr>
      </w:pPr>
      <w:r>
        <w:rPr>
          <w:color w:val="000000"/>
          <w:sz w:val="22"/>
          <w:szCs w:val="22"/>
        </w:rPr>
        <w:t>Please confirm that you give your permission to the London School of Economics and Political Science (LSE) to share the recording(s), transcript(s) and presentation materials for:</w:t>
      </w:r>
    </w:p>
    <w:p w14:paraId="4E2F626B" w14:textId="77777777" w:rsidR="002213D9" w:rsidRDefault="002213D9">
      <w:pPr>
        <w:autoSpaceDE w:val="0"/>
        <w:autoSpaceDN w:val="0"/>
        <w:adjustRightInd w:val="0"/>
        <w:jc w:val="left"/>
        <w:rPr>
          <w:color w:val="000000"/>
          <w:sz w:val="22"/>
          <w:szCs w:val="22"/>
        </w:rPr>
      </w:pPr>
    </w:p>
    <w:p w14:paraId="0ADF8495" w14:textId="77777777" w:rsidR="002213D9" w:rsidRDefault="002213D9">
      <w:pPr>
        <w:autoSpaceDE w:val="0"/>
        <w:autoSpaceDN w:val="0"/>
        <w:adjustRightInd w:val="0"/>
        <w:jc w:val="left"/>
        <w:rPr>
          <w:b/>
          <w:bCs/>
          <w:i/>
          <w:iCs/>
          <w:color w:val="000000"/>
          <w:sz w:val="22"/>
          <w:szCs w:val="22"/>
        </w:rPr>
      </w:pPr>
      <w:r>
        <w:rPr>
          <w:b/>
          <w:bCs/>
          <w:i/>
          <w:iCs/>
          <w:color w:val="000000"/>
          <w:sz w:val="22"/>
          <w:szCs w:val="22"/>
        </w:rPr>
        <w:t>INSERT TITLE</w:t>
      </w:r>
    </w:p>
    <w:p w14:paraId="3BEDF636" w14:textId="77777777" w:rsidR="002213D9" w:rsidRDefault="002213D9">
      <w:pPr>
        <w:autoSpaceDE w:val="0"/>
        <w:autoSpaceDN w:val="0"/>
        <w:adjustRightInd w:val="0"/>
        <w:jc w:val="left"/>
        <w:rPr>
          <w:b/>
          <w:bCs/>
          <w:i/>
          <w:iCs/>
          <w:color w:val="000000"/>
          <w:sz w:val="22"/>
          <w:szCs w:val="22"/>
        </w:rPr>
      </w:pPr>
    </w:p>
    <w:p w14:paraId="330B444B" w14:textId="77777777" w:rsidR="002213D9" w:rsidRDefault="002213D9">
      <w:pPr>
        <w:autoSpaceDE w:val="0"/>
        <w:autoSpaceDN w:val="0"/>
        <w:adjustRightInd w:val="0"/>
        <w:jc w:val="left"/>
        <w:rPr>
          <w:color w:val="000000"/>
          <w:sz w:val="22"/>
          <w:szCs w:val="22"/>
        </w:rPr>
      </w:pPr>
      <w:r>
        <w:rPr>
          <w:color w:val="000000"/>
          <w:sz w:val="22"/>
          <w:szCs w:val="22"/>
        </w:rPr>
        <w:t>to be held at LSE on:</w:t>
      </w:r>
    </w:p>
    <w:p w14:paraId="5247C072" w14:textId="77777777" w:rsidR="002213D9" w:rsidRDefault="002213D9">
      <w:pPr>
        <w:autoSpaceDE w:val="0"/>
        <w:autoSpaceDN w:val="0"/>
        <w:adjustRightInd w:val="0"/>
        <w:jc w:val="left"/>
        <w:rPr>
          <w:color w:val="000000"/>
          <w:sz w:val="22"/>
          <w:szCs w:val="22"/>
        </w:rPr>
      </w:pPr>
    </w:p>
    <w:p w14:paraId="25AEAF08" w14:textId="77777777" w:rsidR="002213D9" w:rsidRDefault="002213D9">
      <w:pPr>
        <w:autoSpaceDE w:val="0"/>
        <w:autoSpaceDN w:val="0"/>
        <w:adjustRightInd w:val="0"/>
        <w:jc w:val="left"/>
        <w:rPr>
          <w:b/>
          <w:bCs/>
          <w:i/>
          <w:iCs/>
          <w:color w:val="000000"/>
          <w:sz w:val="22"/>
          <w:szCs w:val="22"/>
        </w:rPr>
      </w:pPr>
      <w:r>
        <w:rPr>
          <w:b/>
          <w:bCs/>
          <w:i/>
          <w:iCs/>
          <w:color w:val="000000"/>
          <w:sz w:val="22"/>
          <w:szCs w:val="22"/>
        </w:rPr>
        <w:t>INSERT DATE</w:t>
      </w:r>
    </w:p>
    <w:p w14:paraId="397D82AC" w14:textId="77777777" w:rsidR="002213D9" w:rsidRDefault="002213D9">
      <w:pPr>
        <w:autoSpaceDE w:val="0"/>
        <w:autoSpaceDN w:val="0"/>
        <w:adjustRightInd w:val="0"/>
        <w:jc w:val="left"/>
        <w:rPr>
          <w:b/>
          <w:bCs/>
          <w:i/>
          <w:iCs/>
          <w:color w:val="000000"/>
          <w:sz w:val="22"/>
          <w:szCs w:val="22"/>
        </w:rPr>
      </w:pPr>
    </w:p>
    <w:p w14:paraId="1F0AE63D" w14:textId="77777777" w:rsidR="002213D9" w:rsidRDefault="002213D9">
      <w:pPr>
        <w:autoSpaceDE w:val="0"/>
        <w:autoSpaceDN w:val="0"/>
        <w:adjustRightInd w:val="0"/>
        <w:jc w:val="left"/>
        <w:rPr>
          <w:color w:val="000000"/>
          <w:sz w:val="22"/>
          <w:szCs w:val="22"/>
        </w:rPr>
      </w:pPr>
      <w:r>
        <w:rPr>
          <w:color w:val="000000"/>
          <w:sz w:val="22"/>
          <w:szCs w:val="22"/>
        </w:rPr>
        <w:t xml:space="preserve">under the Creative Commons </w:t>
      </w:r>
      <w:r w:rsidRPr="00785370">
        <w:rPr>
          <w:color w:val="000000"/>
          <w:sz w:val="22"/>
          <w:szCs w:val="22"/>
        </w:rPr>
        <w:t>Attribution-</w:t>
      </w:r>
      <w:proofErr w:type="spellStart"/>
      <w:r w:rsidRPr="00785370">
        <w:rPr>
          <w:color w:val="000000"/>
          <w:sz w:val="22"/>
          <w:szCs w:val="22"/>
        </w:rPr>
        <w:t>NonCommercial</w:t>
      </w:r>
      <w:proofErr w:type="spellEnd"/>
      <w:r w:rsidRPr="00785370">
        <w:rPr>
          <w:color w:val="000000"/>
          <w:sz w:val="22"/>
          <w:szCs w:val="22"/>
        </w:rPr>
        <w:t>-</w:t>
      </w:r>
      <w:proofErr w:type="spellStart"/>
      <w:r w:rsidRPr="00785370">
        <w:rPr>
          <w:color w:val="000000"/>
          <w:sz w:val="22"/>
          <w:szCs w:val="22"/>
        </w:rPr>
        <w:t>NoDerivatives</w:t>
      </w:r>
      <w:proofErr w:type="spellEnd"/>
      <w:r w:rsidRPr="00785370">
        <w:rPr>
          <w:color w:val="000000"/>
          <w:sz w:val="22"/>
          <w:szCs w:val="22"/>
        </w:rPr>
        <w:t xml:space="preserve"> 4.0 International</w:t>
      </w:r>
      <w:r>
        <w:rPr>
          <w:color w:val="000000"/>
          <w:sz w:val="22"/>
          <w:szCs w:val="22"/>
        </w:rPr>
        <w:t xml:space="preserve"> Licence i.e., LSE can share the recording(s), transcript(s) and presentation materials with third parties, and third parties can use such recording(s), transcript(s) and presentation materials, provided that there is attribution, non-commercial use and no derivative works (see </w:t>
      </w:r>
      <w:r w:rsidRPr="00785370">
        <w:rPr>
          <w:color w:val="0000FF"/>
          <w:sz w:val="22"/>
          <w:szCs w:val="22"/>
        </w:rPr>
        <w:t>http://creativecommons.org/licenses/by-nc-nd/4.0/</w:t>
      </w:r>
      <w:r>
        <w:rPr>
          <w:color w:val="0000FF"/>
          <w:sz w:val="22"/>
          <w:szCs w:val="22"/>
        </w:rPr>
        <w:t xml:space="preserve"> </w:t>
      </w:r>
      <w:r>
        <w:rPr>
          <w:color w:val="000000"/>
          <w:sz w:val="22"/>
          <w:szCs w:val="22"/>
        </w:rPr>
        <w:t>).</w:t>
      </w:r>
    </w:p>
    <w:p w14:paraId="002F7F44" w14:textId="77777777" w:rsidR="002213D9" w:rsidRDefault="002213D9">
      <w:pPr>
        <w:autoSpaceDE w:val="0"/>
        <w:autoSpaceDN w:val="0"/>
        <w:adjustRightInd w:val="0"/>
        <w:jc w:val="left"/>
        <w:rPr>
          <w:color w:val="000000"/>
          <w:sz w:val="22"/>
          <w:szCs w:val="22"/>
        </w:rPr>
      </w:pPr>
    </w:p>
    <w:p w14:paraId="393203A8" w14:textId="77777777" w:rsidR="002213D9" w:rsidRDefault="002213D9">
      <w:pPr>
        <w:autoSpaceDE w:val="0"/>
        <w:autoSpaceDN w:val="0"/>
        <w:adjustRightInd w:val="0"/>
        <w:jc w:val="left"/>
        <w:rPr>
          <w:color w:val="000000"/>
          <w:sz w:val="22"/>
          <w:szCs w:val="22"/>
        </w:rPr>
      </w:pPr>
      <w:r>
        <w:rPr>
          <w:color w:val="000000"/>
          <w:sz w:val="22"/>
          <w:szCs w:val="22"/>
        </w:rPr>
        <w:t>The content of recordings will be unedited thus including questions and answers where</w:t>
      </w:r>
    </w:p>
    <w:p w14:paraId="4EC32776" w14:textId="77777777" w:rsidR="002213D9" w:rsidRDefault="002213D9">
      <w:pPr>
        <w:autoSpaceDE w:val="0"/>
        <w:autoSpaceDN w:val="0"/>
        <w:adjustRightInd w:val="0"/>
        <w:jc w:val="left"/>
        <w:rPr>
          <w:color w:val="000000"/>
          <w:sz w:val="22"/>
          <w:szCs w:val="22"/>
        </w:rPr>
      </w:pPr>
      <w:r>
        <w:rPr>
          <w:color w:val="000000"/>
          <w:sz w:val="22"/>
          <w:szCs w:val="22"/>
        </w:rPr>
        <w:t>appropriate. Online distribution of the recording may include syndication through external channels as well as the LSE website.</w:t>
      </w:r>
    </w:p>
    <w:p w14:paraId="2FCDC384" w14:textId="77777777" w:rsidR="002213D9" w:rsidRDefault="002213D9">
      <w:pPr>
        <w:autoSpaceDE w:val="0"/>
        <w:autoSpaceDN w:val="0"/>
        <w:adjustRightInd w:val="0"/>
        <w:jc w:val="left"/>
        <w:rPr>
          <w:color w:val="000000"/>
          <w:sz w:val="22"/>
          <w:szCs w:val="22"/>
        </w:rPr>
      </w:pPr>
    </w:p>
    <w:p w14:paraId="03D27D24" w14:textId="77777777" w:rsidR="002213D9" w:rsidRDefault="002213D9">
      <w:pPr>
        <w:autoSpaceDE w:val="0"/>
        <w:autoSpaceDN w:val="0"/>
        <w:adjustRightInd w:val="0"/>
        <w:jc w:val="left"/>
        <w:rPr>
          <w:color w:val="000000"/>
          <w:sz w:val="22"/>
          <w:szCs w:val="22"/>
        </w:rPr>
      </w:pPr>
      <w:r>
        <w:rPr>
          <w:color w:val="000000"/>
          <w:sz w:val="22"/>
          <w:szCs w:val="22"/>
        </w:rPr>
        <w:t>Copyright of content is retained by the speaker(s)/contributor(s).  Copyright in the recordings will be retained by LSE.</w:t>
      </w:r>
    </w:p>
    <w:p w14:paraId="3D178DEB" w14:textId="77777777" w:rsidR="002213D9" w:rsidRDefault="002213D9">
      <w:pPr>
        <w:autoSpaceDE w:val="0"/>
        <w:autoSpaceDN w:val="0"/>
        <w:adjustRightInd w:val="0"/>
        <w:jc w:val="left"/>
        <w:rPr>
          <w:color w:val="000000"/>
          <w:sz w:val="22"/>
          <w:szCs w:val="22"/>
        </w:rPr>
      </w:pPr>
    </w:p>
    <w:p w14:paraId="4BAC40EB" w14:textId="77777777" w:rsidR="002213D9" w:rsidRDefault="002213D9">
      <w:pPr>
        <w:autoSpaceDE w:val="0"/>
        <w:autoSpaceDN w:val="0"/>
        <w:adjustRightInd w:val="0"/>
        <w:jc w:val="left"/>
        <w:rPr>
          <w:color w:val="000000"/>
          <w:sz w:val="22"/>
          <w:szCs w:val="22"/>
        </w:rPr>
      </w:pPr>
      <w:r>
        <w:rPr>
          <w:color w:val="000000"/>
          <w:sz w:val="22"/>
          <w:szCs w:val="22"/>
        </w:rPr>
        <w:t xml:space="preserve">It is assumed that the </w:t>
      </w:r>
      <w:r w:rsidRPr="000F7EFE">
        <w:rPr>
          <w:color w:val="000000"/>
          <w:sz w:val="22"/>
          <w:szCs w:val="22"/>
        </w:rPr>
        <w:t xml:space="preserve">speaker owns </w:t>
      </w:r>
      <w:r>
        <w:rPr>
          <w:color w:val="000000"/>
          <w:sz w:val="22"/>
          <w:szCs w:val="22"/>
        </w:rPr>
        <w:t xml:space="preserve">the copyright to any images contained within slides and other presentation materials, </w:t>
      </w:r>
      <w:r w:rsidRPr="000F7EFE">
        <w:rPr>
          <w:color w:val="000000"/>
          <w:sz w:val="22"/>
          <w:szCs w:val="22"/>
        </w:rPr>
        <w:t xml:space="preserve">or has been </w:t>
      </w:r>
      <w:r>
        <w:rPr>
          <w:color w:val="000000"/>
          <w:sz w:val="22"/>
          <w:szCs w:val="22"/>
        </w:rPr>
        <w:t xml:space="preserve">given </w:t>
      </w:r>
      <w:r w:rsidRPr="000F7EFE">
        <w:rPr>
          <w:color w:val="000000"/>
          <w:sz w:val="22"/>
          <w:szCs w:val="22"/>
        </w:rPr>
        <w:t xml:space="preserve">authority by the copyright holder to allow </w:t>
      </w:r>
      <w:r>
        <w:rPr>
          <w:color w:val="000000"/>
          <w:sz w:val="22"/>
          <w:szCs w:val="22"/>
        </w:rPr>
        <w:t xml:space="preserve">others to reproduce the images. The speaker </w:t>
      </w:r>
      <w:r w:rsidRPr="00BA20E7">
        <w:rPr>
          <w:color w:val="000000"/>
          <w:sz w:val="22"/>
          <w:szCs w:val="22"/>
        </w:rPr>
        <w:t>must</w:t>
      </w:r>
      <w:r>
        <w:rPr>
          <w:color w:val="000000"/>
          <w:sz w:val="22"/>
          <w:szCs w:val="22"/>
        </w:rPr>
        <w:t xml:space="preserve"> let the event organiser know if this assumption is incorrect</w:t>
      </w:r>
      <w:r w:rsidRPr="000F7EFE">
        <w:rPr>
          <w:color w:val="000000"/>
          <w:sz w:val="22"/>
          <w:szCs w:val="22"/>
        </w:rPr>
        <w:t>.</w:t>
      </w:r>
      <w:r>
        <w:rPr>
          <w:color w:val="000000"/>
          <w:sz w:val="22"/>
          <w:szCs w:val="22"/>
        </w:rPr>
        <w:t xml:space="preserve"> Failure to do so may result in copyright material being published online without the requisite consent.</w:t>
      </w:r>
    </w:p>
    <w:p w14:paraId="2A435B54" w14:textId="77777777" w:rsidR="002213D9" w:rsidRDefault="002213D9">
      <w:pPr>
        <w:autoSpaceDE w:val="0"/>
        <w:autoSpaceDN w:val="0"/>
        <w:adjustRightInd w:val="0"/>
        <w:jc w:val="left"/>
        <w:rPr>
          <w:color w:val="000000"/>
          <w:sz w:val="22"/>
          <w:szCs w:val="22"/>
        </w:rPr>
      </w:pPr>
    </w:p>
    <w:p w14:paraId="751364D4" w14:textId="5B4CE764" w:rsidR="002213D9" w:rsidRDefault="002213D9">
      <w:pPr>
        <w:pStyle w:val="Body"/>
        <w:rPr>
          <w:color w:val="000000"/>
          <w:sz w:val="22"/>
          <w:szCs w:val="22"/>
        </w:rPr>
      </w:pPr>
      <w:r>
        <w:rPr>
          <w:color w:val="000000"/>
          <w:sz w:val="22"/>
          <w:szCs w:val="22"/>
        </w:rPr>
        <w:t>Please c</w:t>
      </w:r>
      <w:r w:rsidR="00BA20E7">
        <w:rPr>
          <w:color w:val="000000"/>
          <w:sz w:val="22"/>
          <w:szCs w:val="22"/>
        </w:rPr>
        <w:t>onfirm your agreement by return email.</w:t>
      </w:r>
    </w:p>
    <w:p w14:paraId="3055DE3E" w14:textId="693BAE1D" w:rsidR="00B26D3B" w:rsidRDefault="00B26D3B">
      <w:pPr>
        <w:pStyle w:val="Body"/>
      </w:pPr>
    </w:p>
    <w:p w14:paraId="31937437" w14:textId="00DE281E" w:rsidR="00B26D3B" w:rsidRDefault="00B26D3B">
      <w:pPr>
        <w:pStyle w:val="Body"/>
      </w:pPr>
    </w:p>
    <w:p w14:paraId="65B5BAF9" w14:textId="578422E0" w:rsidR="00B26D3B" w:rsidRPr="00785D4A" w:rsidRDefault="00B26D3B">
      <w:pPr>
        <w:pStyle w:val="Body"/>
      </w:pPr>
      <w:r>
        <w:t>Name …………......................................                                     Date…………………………………</w:t>
      </w:r>
      <w:bookmarkStart w:id="0" w:name="_GoBack"/>
      <w:bookmarkEnd w:id="0"/>
    </w:p>
    <w:sectPr w:rsidR="00B26D3B" w:rsidRPr="00785D4A" w:rsidSect="002213D9">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701" w:header="709" w:footer="709" w:gutter="0"/>
      <w:pgNumType w:start="1"/>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46727" w14:textId="77777777" w:rsidR="008D4227" w:rsidRDefault="008D4227">
      <w:r>
        <w:separator/>
      </w:r>
    </w:p>
  </w:endnote>
  <w:endnote w:type="continuationSeparator" w:id="0">
    <w:p w14:paraId="502F1213" w14:textId="77777777" w:rsidR="008D4227" w:rsidRDefault="008D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0988" w14:textId="77777777" w:rsidR="002213D9" w:rsidRDefault="00221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CF07" w14:textId="77777777" w:rsidR="002213D9" w:rsidRPr="00C642C2" w:rsidRDefault="008D4227">
    <w:pPr>
      <w:pStyle w:val="Footer"/>
    </w:pPr>
    <w:r>
      <w:rPr>
        <w:bCs/>
        <w:lang w:val="en-US"/>
      </w:rPr>
      <w:fldChar w:fldCharType="begin"/>
    </w:r>
    <w:r>
      <w:rPr>
        <w:bCs/>
        <w:lang w:val="en-US"/>
      </w:rPr>
      <w:instrText xml:space="preserve"> DOCPROPERTY "Reference" \* MERGEFORMAT </w:instrText>
    </w:r>
    <w:r>
      <w:rPr>
        <w:bCs/>
        <w:lang w:val="en-US"/>
      </w:rPr>
      <w:fldChar w:fldCharType="separate"/>
    </w:r>
    <w:r w:rsidR="002213D9" w:rsidRPr="00747609">
      <w:rPr>
        <w:bCs/>
        <w:lang w:val="en-US"/>
      </w:rPr>
      <w:t>36436038.1\lb16</w:t>
    </w:r>
    <w:r>
      <w:rPr>
        <w:bCs/>
        <w:lang w:val="en-US"/>
      </w:rPr>
      <w:fldChar w:fldCharType="end"/>
    </w:r>
    <w:r w:rsidR="002213D9">
      <w:tab/>
    </w:r>
    <w:r w:rsidR="002213D9">
      <w:fldChar w:fldCharType="begin"/>
    </w:r>
    <w:r w:rsidR="002213D9">
      <w:instrText xml:space="preserve">  PAGE \* MERGEFORMAT </w:instrText>
    </w:r>
    <w:r w:rsidR="002213D9">
      <w:fldChar w:fldCharType="separate"/>
    </w:r>
    <w:r w:rsidR="00BA20E7">
      <w:rPr>
        <w:noProof/>
      </w:rPr>
      <w:t>1</w:t>
    </w:r>
    <w:r w:rsidR="002213D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4A13" w14:textId="77777777" w:rsidR="002213D9" w:rsidRDefault="00221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CD6C9" w14:textId="77777777" w:rsidR="008D4227" w:rsidRDefault="008D4227">
      <w:r>
        <w:separator/>
      </w:r>
    </w:p>
  </w:footnote>
  <w:footnote w:type="continuationSeparator" w:id="0">
    <w:p w14:paraId="641FEBBB" w14:textId="77777777" w:rsidR="008D4227" w:rsidRDefault="008D4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342A" w14:textId="77777777" w:rsidR="002213D9" w:rsidRDefault="00221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F1CD" w14:textId="77777777" w:rsidR="002213D9" w:rsidRDefault="00221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4374" w14:textId="77777777" w:rsidR="002213D9" w:rsidRDefault="00221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66C89"/>
    <w:multiLevelType w:val="multilevel"/>
    <w:tmpl w:val="99799376"/>
    <w:lvl w:ilvl="0">
      <w:start w:val="1"/>
      <w:numFmt w:val="bullet"/>
      <w:pStyle w:val="Bullet1"/>
      <w:lvlText w:val=""/>
      <w:lvlJc w:val="left"/>
      <w:pPr>
        <w:tabs>
          <w:tab w:val="num" w:pos="851"/>
        </w:tabs>
        <w:ind w:left="851" w:hanging="851"/>
      </w:pPr>
      <w:rPr>
        <w:rFonts w:ascii="Symbol" w:eastAsia="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eastAsia="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eastAsia="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eastAsia="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66866C8A"/>
    <w:multiLevelType w:val="multilevel"/>
    <w:tmpl w:val="99799375"/>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66866C8B"/>
    <w:multiLevelType w:val="multilevel"/>
    <w:tmpl w:val="99799374"/>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66866C8C"/>
    <w:multiLevelType w:val="multilevel"/>
    <w:tmpl w:val="99799373"/>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66866C8D"/>
    <w:multiLevelType w:val="multilevel"/>
    <w:tmpl w:val="99799372"/>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851"/>
  <w:doNotHyphenateCaps/>
  <w:drawingGridHorizontalSpacing w:val="7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ChangeTime" w:val="38313.5"/>
    <w:docVar w:name="Bullet _HeadSuf" w:val=" as Heading (text)"/>
    <w:docVar w:name="Bullet _LongName" w:val="Pinsent Masons Bullets"/>
    <w:docVar w:name="Bullet _NumBodies" w:val="0"/>
    <w:docVar w:name="Level _Body" w:val="Body "/>
    <w:docVar w:name="Level _ChangeTime" w:val="38313.5"/>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8F2E83"/>
    <w:rsid w:val="002213D9"/>
    <w:rsid w:val="00747609"/>
    <w:rsid w:val="008C6414"/>
    <w:rsid w:val="008D4227"/>
    <w:rsid w:val="008F2E83"/>
    <w:rsid w:val="00B26D3B"/>
    <w:rsid w:val="00BA20E7"/>
    <w:rsid w:val="00F52AE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73A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Body">
    <w:name w:val="Body"/>
    <w:basedOn w:val="Normal"/>
    <w:pPr>
      <w:spacing w:after="240"/>
    </w:pPr>
  </w:style>
  <w:style w:type="paragraph" w:customStyle="1" w:styleId="Body1">
    <w:name w:val="Body 1"/>
    <w:basedOn w:val="Body"/>
    <w:pPr>
      <w:adjustRightInd w:val="0"/>
      <w:ind w:left="851"/>
    </w:pPr>
  </w:style>
  <w:style w:type="paragraph" w:customStyle="1" w:styleId="Body2">
    <w:name w:val="Body 2"/>
    <w:basedOn w:val="Body"/>
    <w:pPr>
      <w:adjustRightInd w:val="0"/>
      <w:ind w:left="851"/>
    </w:pPr>
  </w:style>
  <w:style w:type="paragraph" w:customStyle="1" w:styleId="Body3">
    <w:name w:val="Body 3"/>
    <w:basedOn w:val="Body"/>
    <w:pPr>
      <w:adjustRightInd w:val="0"/>
      <w:ind w:left="1702"/>
    </w:pPr>
  </w:style>
  <w:style w:type="paragraph" w:customStyle="1" w:styleId="Body4">
    <w:name w:val="Body 4"/>
    <w:basedOn w:val="Body"/>
    <w:pPr>
      <w:adjustRightInd w:val="0"/>
      <w:ind w:left="2553"/>
    </w:pPr>
  </w:style>
  <w:style w:type="paragraph" w:customStyle="1" w:styleId="Body5">
    <w:name w:val="Body 5"/>
    <w:basedOn w:val="Body"/>
    <w:pPr>
      <w:adjustRightInd w:val="0"/>
      <w:ind w:left="3404"/>
    </w:pPr>
  </w:style>
  <w:style w:type="paragraph" w:customStyle="1" w:styleId="Body6">
    <w:name w:val="Body 6"/>
    <w:basedOn w:val="Body"/>
    <w:pPr>
      <w:adjustRightInd w:val="0"/>
      <w:ind w:left="4255"/>
    </w:pPr>
  </w:style>
  <w:style w:type="paragraph" w:customStyle="1" w:styleId="Bullet1">
    <w:name w:val="Bullet 1"/>
    <w:basedOn w:val="Body"/>
    <w:pPr>
      <w:numPr>
        <w:numId w:val="1"/>
      </w:numPr>
      <w:adjustRightInd w:val="0"/>
      <w:outlineLvl w:val="0"/>
    </w:pPr>
  </w:style>
  <w:style w:type="paragraph" w:customStyle="1" w:styleId="Bullet2">
    <w:name w:val="Bullet 2"/>
    <w:basedOn w:val="Body"/>
    <w:pPr>
      <w:numPr>
        <w:ilvl w:val="1"/>
        <w:numId w:val="1"/>
      </w:numPr>
      <w:adjustRightInd w:val="0"/>
      <w:outlineLvl w:val="1"/>
    </w:pPr>
  </w:style>
  <w:style w:type="paragraph" w:customStyle="1" w:styleId="Bullet3">
    <w:name w:val="Bullet 3"/>
    <w:basedOn w:val="Body"/>
    <w:pPr>
      <w:numPr>
        <w:ilvl w:val="2"/>
        <w:numId w:val="1"/>
      </w:numPr>
      <w:adjustRightInd w:val="0"/>
      <w:outlineLvl w:val="2"/>
    </w:pPr>
  </w:style>
  <w:style w:type="paragraph" w:customStyle="1" w:styleId="Bullet4">
    <w:name w:val="Bullet 4"/>
    <w:basedOn w:val="Body"/>
    <w:pPr>
      <w:numPr>
        <w:ilvl w:val="3"/>
        <w:numId w:val="1"/>
      </w:numPr>
      <w:adjustRightInd w:val="0"/>
      <w:outlineLvl w:val="3"/>
    </w:pPr>
  </w:style>
  <w:style w:type="paragraph" w:styleId="FootnoteText">
    <w:name w:val="footnote text"/>
    <w:basedOn w:val="Normal"/>
    <w:semiHidden/>
    <w:rPr>
      <w:sz w:val="16"/>
      <w:szCs w:val="16"/>
    </w:rPr>
  </w:style>
  <w:style w:type="paragraph" w:styleId="Header">
    <w:name w:val="header"/>
    <w:basedOn w:val="Normal"/>
    <w:semiHidden/>
    <w:pPr>
      <w:tabs>
        <w:tab w:val="center" w:pos="4320"/>
        <w:tab w:val="right" w:pos="8640"/>
      </w:tabs>
    </w:pPr>
    <w:rPr>
      <w:sz w:val="16"/>
    </w:rPr>
  </w:style>
  <w:style w:type="paragraph" w:customStyle="1" w:styleId="Level2">
    <w:name w:val="Level 2"/>
    <w:basedOn w:val="Body2"/>
    <w:pPr>
      <w:numPr>
        <w:ilvl w:val="1"/>
        <w:numId w:val="2"/>
      </w:numPr>
      <w:outlineLvl w:val="1"/>
    </w:pPr>
  </w:style>
  <w:style w:type="paragraph" w:customStyle="1" w:styleId="Level1">
    <w:name w:val="Level 1"/>
    <w:basedOn w:val="Body1"/>
    <w:pPr>
      <w:numPr>
        <w:numId w:val="2"/>
      </w:numPr>
      <w:outlineLvl w:val="0"/>
    </w:pPr>
  </w:style>
  <w:style w:type="paragraph" w:customStyle="1" w:styleId="Level3">
    <w:name w:val="Level 3"/>
    <w:basedOn w:val="Body3"/>
    <w:pPr>
      <w:numPr>
        <w:ilvl w:val="2"/>
        <w:numId w:val="2"/>
      </w:numPr>
      <w:outlineLvl w:val="2"/>
    </w:pPr>
  </w:style>
  <w:style w:type="paragraph" w:customStyle="1" w:styleId="Level4">
    <w:name w:val="Level 4"/>
    <w:basedOn w:val="Body4"/>
    <w:pPr>
      <w:numPr>
        <w:ilvl w:val="3"/>
        <w:numId w:val="2"/>
      </w:numPr>
      <w:outlineLvl w:val="3"/>
    </w:pPr>
  </w:style>
  <w:style w:type="paragraph" w:customStyle="1" w:styleId="Level5">
    <w:name w:val="Level 5"/>
    <w:basedOn w:val="Body5"/>
    <w:pPr>
      <w:numPr>
        <w:ilvl w:val="4"/>
        <w:numId w:val="2"/>
      </w:numPr>
      <w:outlineLvl w:val="4"/>
    </w:pPr>
  </w:style>
  <w:style w:type="paragraph" w:customStyle="1" w:styleId="Level6">
    <w:name w:val="Level 6"/>
    <w:basedOn w:val="Body6"/>
    <w:pPr>
      <w:numPr>
        <w:ilvl w:val="5"/>
        <w:numId w:val="2"/>
      </w:numPr>
      <w:outlineLvl w:val="5"/>
    </w:pPr>
  </w:style>
  <w:style w:type="character" w:customStyle="1" w:styleId="Level1asHeadingtext">
    <w:name w:val="Level 1 as Heading (text)"/>
    <w:rPr>
      <w:b/>
      <w:bCs/>
      <w:caps/>
    </w:rPr>
  </w:style>
  <w:style w:type="character" w:customStyle="1" w:styleId="Level2asHeadingtext">
    <w:name w:val="Level 2 as Heading (text)"/>
    <w:rPr>
      <w:b/>
      <w:bCs/>
    </w:rPr>
  </w:style>
  <w:style w:type="character" w:customStyle="1" w:styleId="Level3asHeadingtext">
    <w:name w:val="Level 3 as Heading (text)"/>
    <w:rPr>
      <w:b/>
      <w:bCs/>
    </w:rPr>
  </w:style>
  <w:style w:type="paragraph" w:customStyle="1" w:styleId="SubHeading">
    <w:name w:val="Sub Heading"/>
    <w:basedOn w:val="Body"/>
    <w:next w:val="Body"/>
    <w:pPr>
      <w:keepNext/>
      <w:keepLines/>
      <w:numPr>
        <w:numId w:val="3"/>
      </w:numPr>
      <w:tabs>
        <w:tab w:val="clear" w:pos="0"/>
      </w:tabs>
      <w:jc w:val="center"/>
    </w:pPr>
    <w:rPr>
      <w:b/>
      <w:caps/>
    </w:rPr>
  </w:style>
  <w:style w:type="paragraph" w:styleId="Footer">
    <w:name w:val="footer"/>
    <w:basedOn w:val="Normal"/>
    <w:semiHidden/>
    <w:pPr>
      <w:tabs>
        <w:tab w:val="center" w:pos="4320"/>
        <w:tab w:val="right" w:pos="8640"/>
      </w:tabs>
    </w:pPr>
    <w:rPr>
      <w:sz w:val="16"/>
    </w:rPr>
  </w:style>
  <w:style w:type="paragraph" w:customStyle="1" w:styleId="MainHeading">
    <w:name w:val="Main Heading"/>
    <w:basedOn w:val="Body"/>
    <w:pPr>
      <w:keepNext/>
      <w:keepLines/>
      <w:numPr>
        <w:numId w:val="4"/>
      </w:numPr>
      <w:tabs>
        <w:tab w:val="clear" w:pos="0"/>
      </w:tabs>
      <w:jc w:val="center"/>
      <w:outlineLvl w:val="0"/>
    </w:pPr>
    <w:rPr>
      <w:b/>
      <w:caps/>
      <w:sz w:val="24"/>
    </w:rPr>
  </w:style>
  <w:style w:type="paragraph" w:styleId="CommentText">
    <w:name w:val="annotation text"/>
    <w:basedOn w:val="Normal"/>
    <w:semiHidden/>
  </w:style>
  <w:style w:type="paragraph" w:styleId="EndnoteText">
    <w:name w:val="endnote text"/>
    <w:basedOn w:val="Normal"/>
    <w:semiHidden/>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TOC1">
    <w:name w:val="toc 1"/>
    <w:basedOn w:val="Body"/>
    <w:next w:val="Normal"/>
    <w:semiHidden/>
    <w:pPr>
      <w:tabs>
        <w:tab w:val="right" w:pos="8500"/>
      </w:tabs>
      <w:ind w:left="851" w:right="567" w:hanging="851"/>
    </w:pPr>
  </w:style>
  <w:style w:type="paragraph" w:styleId="TOC2">
    <w:name w:val="toc 2"/>
    <w:basedOn w:val="TOC1"/>
    <w:next w:val="Normal"/>
    <w:semiHidden/>
    <w:pPr>
      <w:ind w:left="1702"/>
    </w:pPr>
  </w:style>
  <w:style w:type="paragraph" w:styleId="TOC3">
    <w:name w:val="toc 3"/>
    <w:basedOn w:val="TOC1"/>
    <w:next w:val="Normal"/>
    <w:semiHidden/>
    <w:pPr>
      <w:ind w:left="2552"/>
    </w:pPr>
  </w:style>
  <w:style w:type="paragraph" w:styleId="TOC4">
    <w:name w:val="toc 4"/>
    <w:basedOn w:val="TOC1"/>
    <w:next w:val="Normal"/>
    <w:semiHidden/>
    <w:pPr>
      <w:ind w:left="0" w:firstLine="0"/>
    </w:pPr>
  </w:style>
  <w:style w:type="paragraph" w:styleId="TOC5">
    <w:name w:val="toc 5"/>
    <w:basedOn w:val="TOC1"/>
    <w:next w:val="Normal"/>
    <w:semiHidden/>
    <w:pPr>
      <w:ind w:firstLine="0"/>
    </w:pPr>
  </w:style>
  <w:style w:type="paragraph" w:styleId="TOC6">
    <w:name w:val="toc 6"/>
    <w:basedOn w:val="TOC1"/>
    <w:next w:val="Normal"/>
    <w:semiHidden/>
    <w:pPr>
      <w:ind w:left="1701" w:firstLine="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Appendix">
    <w:name w:val="Appendix #"/>
    <w:basedOn w:val="Body"/>
    <w:next w:val="SubHeading"/>
    <w:pPr>
      <w:keepNext/>
      <w:keepLines/>
      <w:numPr>
        <w:ilvl w:val="1"/>
        <w:numId w:val="5"/>
      </w:numPr>
      <w:tabs>
        <w:tab w:val="clear" w:pos="0"/>
      </w:tabs>
      <w:jc w:val="center"/>
    </w:pPr>
    <w:rPr>
      <w:b/>
    </w:rPr>
  </w:style>
  <w:style w:type="paragraph" w:customStyle="1" w:styleId="Part">
    <w:name w:val="Part #"/>
    <w:basedOn w:val="Body"/>
    <w:next w:val="SubHeading"/>
    <w:pPr>
      <w:keepNext/>
      <w:keepLines/>
      <w:numPr>
        <w:ilvl w:val="2"/>
        <w:numId w:val="5"/>
      </w:numPr>
      <w:tabs>
        <w:tab w:val="clear" w:pos="0"/>
      </w:tabs>
      <w:jc w:val="center"/>
    </w:pPr>
  </w:style>
  <w:style w:type="paragraph" w:customStyle="1" w:styleId="Schedule">
    <w:name w:val="Schedule #"/>
    <w:basedOn w:val="Body"/>
    <w:next w:val="SubHeading"/>
    <w:pPr>
      <w:keepNext/>
      <w:keepLines/>
      <w:numPr>
        <w:numId w:val="5"/>
      </w:numPr>
      <w:tabs>
        <w:tab w:val="clear" w:pos="0"/>
      </w:tabs>
      <w:jc w:val="center"/>
    </w:pPr>
    <w:rPr>
      <w:b/>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A4 Document.dot</Template>
  <TotalTime>0</TotalTime>
  <Pages>1</Pages>
  <Words>261</Words>
  <Characters>1488</Characters>
  <Application>Microsoft Office Word</Application>
  <DocSecurity>0</DocSecurity>
  <Lines>12</Lines>
  <Paragraphs>3</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Event recording permission form [doc]</vt:lpstr>
    </vt:vector>
  </TitlesOfParts>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recording permission form [doc]</dc:title>
  <dc:subject/>
  <dc:creator/>
  <cp:keywords/>
  <dc:description/>
  <cp:lastModifiedBy/>
  <cp:revision>1</cp:revision>
  <dcterms:created xsi:type="dcterms:W3CDTF">2015-04-17T17:34:00Z</dcterms:created>
  <dcterms:modified xsi:type="dcterms:W3CDTF">2018-11-20T11:36:00Z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36436038.1\lb16</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